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92" w:type="dxa"/>
        <w:tblLayout w:type="fixed"/>
        <w:tblLook w:val="04A0" w:firstRow="1" w:lastRow="0" w:firstColumn="1" w:lastColumn="0" w:noHBand="0" w:noVBand="1"/>
      </w:tblPr>
      <w:tblGrid>
        <w:gridCol w:w="5398"/>
        <w:gridCol w:w="4395"/>
      </w:tblGrid>
      <w:tr>
        <w:tblPrEx/>
        <w:trPr>
          <w:trHeight w:val="3072"/>
        </w:trPr>
        <w:tc>
          <w:tcPr>
            <w:tcW w:w="5398" w:type="dxa"/>
            <w:textDirection w:val="lrTb"/>
            <w:noWrap w:val="false"/>
          </w:tcPr>
          <w:p>
            <w:pPr>
              <w:ind w:firstLine="851"/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395" w:type="dxa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генерального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 техническим вопросам–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главный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А.И.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Таранков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«__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_»_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 2026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  <w:p>
            <w:pPr>
              <w:ind w:firstLine="851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</w:rPr>
      </w:pPr>
      <w:r>
        <w:rPr>
          <w:b/>
          <w:bCs/>
          <w:highlight w:val="none"/>
          <w:lang w:val="ru-RU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71"/>
        <w:jc w:val="center"/>
        <w:rPr>
          <w:b/>
          <w:bCs/>
          <w:highlight w:val="none"/>
          <w:lang w:val="ru-RU"/>
        </w:rPr>
      </w:pPr>
      <w:r>
        <w:rPr>
          <w:b/>
          <w:bCs/>
          <w:lang w:val="ru-RU"/>
        </w:rPr>
        <w:t xml:space="preserve">ТЕХНИЧЕСКОЕ ЗАДАНИЕ</w:t>
      </w:r>
      <w:r>
        <w:rPr>
          <w:b/>
          <w:bCs/>
          <w:highlight w:val="none"/>
          <w:lang w:val="ru-RU"/>
        </w:rPr>
      </w:r>
      <w:r>
        <w:rPr>
          <w:b/>
          <w:bCs/>
          <w:highlight w:val="none"/>
          <w:lang w:val="ru-RU"/>
        </w:rPr>
      </w:r>
    </w:p>
    <w:p>
      <w:pPr>
        <w:pStyle w:val="871"/>
        <w:jc w:val="center"/>
        <w:rPr>
          <w:highlight w:val="none"/>
          <w:lang w:val="ru-RU"/>
        </w:rPr>
      </w:pPr>
      <w:r>
        <w:rPr>
          <w:lang w:val="ru-RU"/>
        </w:rPr>
        <w:t xml:space="preserve">на выполнение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 </w:t>
      </w:r>
      <w:r>
        <w:rPr>
          <w:lang w:val="ru-RU"/>
        </w:rPr>
        <w:t xml:space="preserve">от </w:t>
      </w:r>
      <w:r>
        <w:rPr>
          <w:lang w:val="ru-RU"/>
        </w:rPr>
        <w:t xml:space="preserve">объектов</w:t>
      </w:r>
      <w:r>
        <w:rPr>
          <w:lang w:val="ru-RU"/>
        </w:rPr>
        <w:t xml:space="preserve"> НВОС</w:t>
      </w:r>
      <w:r>
        <w:rPr>
          <w:lang w:val="ru-RU"/>
        </w:rPr>
        <w:t xml:space="preserve"> </w:t>
      </w:r>
      <w:r>
        <w:rPr>
          <w:lang w:val="ru-RU"/>
        </w:rPr>
        <w:t xml:space="preserve"> АО «Россети Сибирь Тываэнерго»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jc w:val="center"/>
        <w:rPr>
          <w:highlight w:val="none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firstLine="851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pP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  <w:t xml:space="preserve">1. Общие положения</w:t>
      </w: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pP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1.1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.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 Заказчик: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АО «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Россети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Сибирь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Тываэнерго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».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</w:p>
    <w:p>
      <w:pPr>
        <w:ind w:firstLine="709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pP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</w:r>
    </w:p>
    <w:p>
      <w:pPr>
        <w:pStyle w:val="871"/>
        <w:ind w:firstLine="706"/>
        <w:jc w:val="both"/>
        <w:rPr>
          <w:highlight w:val="none"/>
        </w:rPr>
      </w:pPr>
      <w:r>
        <w:rPr>
          <w:rFonts w:ascii="Times New Roman CYR" w:hAnsi="Times New Roman CYR" w:eastAsia="Times New Roman" w:cs="Times New Roman CYR"/>
          <w:b/>
          <w:bCs/>
          <w:spacing w:val="6"/>
          <w:sz w:val="24"/>
          <w:szCs w:val="24"/>
          <w:highlight w:val="none"/>
        </w:rPr>
        <w:t xml:space="preserve">1.2. Наименование объектов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: </w:t>
      </w:r>
      <w:r>
        <w:rPr>
          <w:lang w:val="ru-RU"/>
        </w:rPr>
        <w:t xml:space="preserve">Центральная производственная база Центрального района электрических сетей (</w:t>
      </w:r>
      <w:r>
        <w:rPr>
          <w:lang w:val="ru-RU"/>
        </w:rPr>
        <w:t xml:space="preserve">объект НВОС </w:t>
      </w:r>
      <w:r>
        <w:rPr>
          <w:lang w:val="en-US"/>
        </w:rPr>
        <w:t xml:space="preserve">III</w:t>
      </w:r>
      <w:r>
        <w:rPr>
          <w:lang w:val="ru-RU"/>
        </w:rPr>
        <w:t xml:space="preserve">-й категории); </w:t>
      </w:r>
      <w:r>
        <w:rPr>
          <w:lang w:val="ru-RU"/>
        </w:rPr>
        <w:t xml:space="preserve">Производственная база Восточного района электрических сетей </w:t>
      </w:r>
      <w:r>
        <w:rPr>
          <w:rFonts w:eastAsia="Times New Roman"/>
          <w:color w:val="000000"/>
          <w:lang w:val="ru-RU" w:eastAsia="ru-RU"/>
        </w:rPr>
        <w:t xml:space="preserve"> </w:t>
      </w:r>
      <w:r>
        <w:rPr>
          <w:rFonts w:eastAsia="Times New Roman"/>
          <w:color w:val="000000"/>
          <w:lang w:val="ru-RU" w:eastAsia="ru-RU"/>
        </w:rPr>
        <w:t xml:space="preserve">(объект НВОС III категории);</w:t>
      </w:r>
      <w:r>
        <w:rPr>
          <w:lang w:val="ru-RU"/>
        </w:rPr>
        <w:t xml:space="preserve">Производственная база Западного района электрических сетей </w:t>
      </w:r>
      <w:r>
        <w:rPr>
          <w:rFonts w:eastAsia="Times New Roman"/>
          <w:color w:val="000000"/>
          <w:lang w:val="ru-RU" w:eastAsia="ru-RU"/>
        </w:rPr>
        <w:t xml:space="preserve"> </w:t>
      </w:r>
      <w:r>
        <w:rPr>
          <w:rFonts w:eastAsia="Times New Roman"/>
          <w:color w:val="000000"/>
          <w:lang w:val="ru-RU" w:eastAsia="ru-RU"/>
        </w:rPr>
        <w:t xml:space="preserve">(объект НВОС III категории);</w:t>
      </w:r>
      <w:r>
        <w:rPr>
          <w:lang w:val="ru-RU"/>
        </w:rPr>
        <w:t xml:space="preserve">Производственная база Южного района электрических сетей </w:t>
      </w:r>
      <w:r>
        <w:rPr>
          <w:rFonts w:eastAsia="Times New Roman"/>
          <w:color w:val="000000"/>
          <w:lang w:val="ru-RU" w:eastAsia="ru-RU"/>
        </w:rPr>
        <w:t xml:space="preserve"> </w:t>
      </w:r>
      <w:r>
        <w:rPr>
          <w:rFonts w:eastAsia="Times New Roman"/>
          <w:color w:val="000000"/>
          <w:lang w:val="ru-RU" w:eastAsia="ru-RU"/>
        </w:rPr>
        <w:t xml:space="preserve">(объект НВОС III категории).</w:t>
      </w:r>
      <w:r>
        <w:rPr>
          <w:highlight w:val="none"/>
        </w:rPr>
      </w:r>
      <w:r>
        <w:rPr>
          <w:highlight w:val="none"/>
        </w:rPr>
      </w:r>
    </w:p>
    <w:p>
      <w:pPr>
        <w:ind w:firstLine="706"/>
        <w:jc w:val="both"/>
        <w:rPr>
          <w:lang w:val="ru-RU"/>
        </w:rPr>
      </w:pPr>
      <w:r>
        <w:rPr>
          <w:highlight w:val="none"/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pacing w:after="0" w:line="240" w:lineRule="auto"/>
        <w:rPr>
          <w:highlight w:val="none"/>
          <w:lang w:val="ru-RU"/>
        </w:rPr>
      </w:pP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1.3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.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</w:t>
      </w:r>
      <w:r>
        <w:rPr>
          <w:rFonts w:ascii="Times New Roman CYR" w:hAnsi="Times New Roman CYR" w:eastAsia="Times New Roman" w:cs="Times New Roman CYR"/>
          <w:b/>
          <w:spacing w:val="6"/>
          <w:sz w:val="24"/>
          <w:szCs w:val="24"/>
          <w:highlight w:val="none"/>
        </w:rPr>
        <w:t xml:space="preserve">Предмет закупки: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 </w:t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</w:rPr>
        <w:t xml:space="preserve">проведение</w:t>
      </w:r>
      <w:r>
        <w:rPr>
          <w:lang w:val="ru-RU"/>
        </w:rPr>
        <w:t xml:space="preserve"> 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</w:t>
      </w:r>
      <w:r>
        <w:rPr>
          <w:lang w:val="ru-RU"/>
        </w:rPr>
        <w:t xml:space="preserve">от </w:t>
      </w:r>
      <w:r>
        <w:rPr>
          <w:lang w:val="ru-RU"/>
        </w:rPr>
        <w:t xml:space="preserve">объектов</w:t>
      </w:r>
      <w:r>
        <w:rPr>
          <w:lang w:val="ru-RU"/>
        </w:rPr>
        <w:t xml:space="preserve"> НВОС</w:t>
      </w:r>
      <w:r>
        <w:rPr>
          <w:lang w:val="ru-RU"/>
        </w:rPr>
        <w:t xml:space="preserve"> </w:t>
      </w:r>
      <w:r>
        <w:rPr>
          <w:lang w:val="ru-RU"/>
        </w:rPr>
        <w:t xml:space="preserve">АО «Россети Сибирь Тываэнерго»</w:t>
      </w:r>
      <w:r>
        <w:rPr>
          <w:lang w:val="ru-RU"/>
        </w:rPr>
        <w:t xml:space="preserve">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  <w:lang w:val="ru-RU"/>
        </w:rPr>
      </w:pPr>
      <w:r>
        <w:rPr>
          <w:highlight w:val="none"/>
          <w:lang w:val="ru-RU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  <w:lang w:val="ru-RU"/>
        </w:rPr>
      </w:r>
      <w:r>
        <w:rPr>
          <w:rFonts w:ascii="Times New Roman CYR" w:hAnsi="Times New Roman CYR" w:eastAsia="Times New Roman" w:cs="Times New Roman CYR"/>
          <w:spacing w:val="6"/>
          <w:sz w:val="24"/>
          <w:szCs w:val="24"/>
          <w:highlight w:val="none"/>
          <w:lang w:val="ru-RU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1.4. 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Предмет договора: 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сполнитель обязуется оказать следующие услуги: работы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от объектов НВОС III категор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и АО «Россети Сибирь Тываэнерго», согласно требованиям: Федерального закона от 10.01.2002 № 7-ФЗ «Об охране окружающей среды», Федерального закона от 04.05.1999 № 96-ФЗ «Об охране атмосферного воздуха», Федерального закона от 30.03.1999 № 52-ФЗ «О санитарн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о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-эпидемиологическом благополучии населения», Постановления Правительства РФ от 9 декабря 2020 г. № 2055 «О предельно допустимых выбросах, временно разрешенных выбросах, предельно допустимых нормативах вредных физических воздействий на атмосферный воздух и 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р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азрешениях на выбросы загрязняющих веществ в атмосферный воздух», Приказа Министерства природных ресурсов и экологии РФ от 19 ноября 2021 г. № 871 «Об утверждении Порядка проведения инвентаризации стационарных источников и выбросов загрязняющих веществ в а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т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мосферный воздух, корректировки ее данных, документирования и хранения данных, полученных в результате проведения таких инвентаризации и корректировки», Приказа Министерства природных ресурсов и экологии РФ от 11.08.2020 № 581 «Об утверждении методики разр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а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ботки (расчета) и установления нормативов допустимых выбросов загрязняющих веществ в атмосферный воздух», Приказа Министерства природных ресурсов и экологии РФ от 28.11.2019 № 811 «Об утверждении требований к мероприятиям по уменьшению выбросов загрязняющи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х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 веществ в атмосферный воздух в периоды неблагоприятных метеорологических условий», Письма Министерства природных ресурсов и экологии РФ от 27.07.2020 № 12-50/9437-ОГ «О мероприятиях при НМУ», СанПиН 1.2.3685-21 «Гигиенические нормативы и требования к обес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печению безопасности и (или) безвредности для человека факторов среды обитания».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сполнитель обеспечивает во время оказания услуг: соблюдение правил, предусмотренных нормативными актами по охране труда и технике безопасности, противопожарной безопасности, охране окружающей среды, соблюдение санитарии в течение всего срока оказания услуг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Исполнителю необходимо обеспечить прохождение инструктажа по охране труда и технике безопасности своих сотрудников, задействованных при оказании услуг на объектах.</w:t>
      </w:r>
      <w:r>
        <w:rPr>
          <w:b w:val="0"/>
          <w:bCs w:val="0"/>
        </w:rPr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rPr>
          <w:rFonts w:ascii="Times New Roman" w:hAnsi="Times New Roman" w:eastAsia="Times New Roman"/>
          <w:sz w:val="24"/>
          <w:szCs w:val="24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pStyle w:val="711"/>
        <w:numPr>
          <w:ilvl w:val="1"/>
          <w:numId w:val="7"/>
        </w:numPr>
        <w:ind w:left="0" w:firstLine="709"/>
        <w:jc w:val="both"/>
        <w:keepNext/>
        <w:spacing w:after="0" w:line="240" w:lineRule="auto"/>
        <w:rPr>
          <w:rFonts w:ascii="Times New Roman" w:hAnsi="Times New Roman" w:eastAsia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Сроки и условия оказания услуг: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1.5.1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Исполнитель обязан оказать Услуги с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даты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заключения договора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до 30.11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.2026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г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1.5.2.</w:t>
      </w:r>
      <w:r>
        <w:rPr>
          <w:sz w:val="26"/>
          <w:szCs w:val="26"/>
          <w:highlight w:val="none"/>
        </w:rPr>
        <w:t xml:space="preserve"> Проведение </w:t>
      </w:r>
      <w:r>
        <w:rPr>
          <w:lang w:val="ru-RU"/>
        </w:rPr>
        <w:t xml:space="preserve">работ по инвентаризации ИЗАВ и выбросов загрязняющих веществ (ЗВ), разработке и согласованию проекта нормативов допустимых выбросов (НДВ) загрязняющих веществ в атмосферный воздух </w:t>
      </w:r>
      <w:r>
        <w:rPr>
          <w:lang w:val="ru-RU"/>
        </w:rPr>
        <w:t xml:space="preserve">от </w:t>
      </w:r>
      <w:r>
        <w:rPr>
          <w:lang w:val="ru-RU"/>
        </w:rPr>
        <w:t xml:space="preserve">объектов</w:t>
      </w:r>
      <w:r>
        <w:rPr>
          <w:lang w:val="ru-RU"/>
        </w:rPr>
        <w:t xml:space="preserve"> НВОС III категории</w:t>
      </w:r>
      <w:r>
        <w:rPr>
          <w:lang w:val="ru-RU"/>
        </w:rPr>
        <w:t xml:space="preserve"> </w:t>
      </w:r>
      <w:r>
        <w:rPr>
          <w:lang w:val="ru-RU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Исполнитель реализует в следующем объеме: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keepNext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94"/>
        <w:spacing w:before="0" w:beforeAutospacing="0" w:after="0" w:afterAutospacing="0"/>
        <w:shd w:val="clear" w:color="auto" w:fill="ffffff"/>
        <w:rPr>
          <w:color w:val="000000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  <w:tab/>
        <w:t xml:space="preserve">1. </w:t>
      </w:r>
      <w:r>
        <w:rPr>
          <w:lang w:val="ru-RU"/>
        </w:rPr>
        <w:t xml:space="preserve">Центральная производственная база Центрального района электрических сетей </w:t>
      </w:r>
      <w:r>
        <w:rPr>
          <w:color w:val="000000"/>
        </w:rPr>
        <w:t xml:space="preserve"> относится к категории НВОС III. </w:t>
      </w:r>
      <w:r>
        <w:rPr>
          <w:color w:val="000000"/>
        </w:rPr>
        <w:t xml:space="preserve">Всего на участк</w:t>
      </w:r>
      <w:r>
        <w:rPr>
          <w:color w:val="000000"/>
          <w:highlight w:val="none"/>
        </w:rPr>
        <w:t xml:space="preserve">е</w:t>
      </w:r>
      <w:r>
        <w:rPr>
          <w:color w:val="000000"/>
          <w:highlight w:val="none"/>
        </w:rPr>
        <w:t xml:space="preserve"> </w:t>
      </w:r>
      <w:r>
        <w:rPr>
          <w:color w:val="000000"/>
          <w:highlight w:val="none"/>
        </w:rPr>
        <w:t xml:space="preserve">12</w:t>
      </w:r>
      <w:r>
        <w:rPr>
          <w:color w:val="000000"/>
        </w:rPr>
        <w:t xml:space="preserve"> источников выбросов загрязняющих веществ в атмосферу.</w:t>
      </w:r>
      <w:r>
        <w:rPr>
          <w:color w:val="000000"/>
        </w:rPr>
      </w:r>
      <w:r>
        <w:rPr>
          <w:color w:val="000000"/>
        </w:rPr>
      </w:r>
    </w:p>
    <w:p>
      <w:pPr>
        <w:pStyle w:val="894"/>
        <w:jc w:val="center"/>
        <w:spacing w:before="0" w:beforeAutospacing="0" w:after="0" w:afterAutospacing="0"/>
        <w:shd w:val="clear" w:color="auto" w:fill="ffffff"/>
        <w:rPr>
          <w:color w:val="000000"/>
        </w:rPr>
      </w:pPr>
      <w:r>
        <w:rPr>
          <w:color w:val="000000"/>
        </w:rPr>
        <w:t xml:space="preserve">Перечень загрязняющих веществ  </w:t>
      </w:r>
      <w:r>
        <w:rPr>
          <w:color w:val="000000"/>
        </w:rPr>
        <w:t xml:space="preserve">организованных </w:t>
      </w:r>
      <w:r>
        <w:rPr>
          <w:color w:val="000000"/>
        </w:rPr>
        <w:t xml:space="preserve">источников выбросов</w:t>
      </w:r>
      <w:r>
        <w:rPr>
          <w:color w:val="000000"/>
        </w:rPr>
      </w:r>
      <w:r>
        <w:rPr>
          <w:color w:val="000000"/>
        </w:rPr>
      </w:r>
    </w:p>
    <w:tbl>
      <w:tblPr>
        <w:tblW w:w="974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51"/>
        <w:gridCol w:w="6094"/>
      </w:tblGrid>
      <w:tr>
        <w:tblPrEx/>
        <w:trPr>
          <w:trHeight w:val="10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746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ru-RU" w:eastAsia="ru-RU"/>
              </w:rPr>
              <w:t xml:space="preserve">Загрязняющее вещество</w:t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</w:p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9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ru-RU" w:eastAsia="ru-RU"/>
              </w:rPr>
              <w:t xml:space="preserve">код</w:t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Наименование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0123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диЖелезо триоксид (Железо оксид) (в пересчете на железо)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0143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Марганец и его соединения (в пересчете на марганца (IV)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0301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Азота диоксид (Азот 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(IV)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0304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 (II) оксид (Азота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28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0328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(сажа)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0330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Сера диоксид (Ангидрид сернистый)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0333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Дигидросульфид (Сероводород)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highlight w:val="none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0337</w:t>
            </w:r>
            <w:r>
              <w:rPr>
                <w:rFonts w:eastAsia="Times New Roman"/>
                <w:sz w:val="18"/>
                <w:szCs w:val="18"/>
                <w:highlight w:val="none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highlight w:val="none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оксид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13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0342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Фториды газообразные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highlight w:val="none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0703</w:t>
            </w:r>
            <w:r>
              <w:rPr>
                <w:rFonts w:eastAsia="Times New Roman"/>
                <w:sz w:val="18"/>
                <w:szCs w:val="18"/>
                <w:highlight w:val="none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highlight w:val="none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Бенз/а/пирен (3,4-Бензпирен)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1325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Формальдегид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2704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Бензин (нефтяной,малосернистый) (в перечете на углерод)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2732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Керосин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2735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Масло минеральное нефтяное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2754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Алкины С12-С-19 (Углеводороды предельные С12-С19)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2930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Пыль абразивная (Корунд белый, Монокорунд)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2936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Пыль древесная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Гараж 1 Службы механизации и транспорта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Азота диоксид (Азот (IV)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 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 (II) оксид (Азота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2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 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Сера диоксид (Ангидрид сернистый)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 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оксид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61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Бензин (нефтяной,малосернистый) (в перечете на углерод)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Керосин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vMerge w:val="restart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Всего веществ 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vMerge w:val="restart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17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в том числе твердых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6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жидких/газообразных 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bottom"/>
            <w:textDirection w:val="lrTb"/>
            <w:noWrap/>
          </w:tcPr>
          <w:p>
            <w:pPr>
              <w:pStyle w:val="871"/>
              <w:jc w:val="left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11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</w:tbl>
    <w:p>
      <w:pPr>
        <w:pStyle w:val="871"/>
        <w:ind w:firstLine="706"/>
        <w:jc w:val="both"/>
        <w:spacing w:before="100" w:beforeAutospacing="1"/>
        <w:shd w:val="clear" w:color="auto" w:fill="ffffff"/>
        <w:widowControl/>
        <w:rPr>
          <w:rFonts w:eastAsia="Times New Roman"/>
          <w:color w:val="000000"/>
          <w:lang w:val="ru-RU" w:eastAsia="ru-RU"/>
        </w:rPr>
      </w:pPr>
      <w:r>
        <w:rPr>
          <w:lang w:val="ru-RU"/>
        </w:rPr>
        <w:t xml:space="preserve">2. </w:t>
      </w:r>
      <w:r>
        <w:rPr>
          <w:lang w:val="ru-RU"/>
        </w:rPr>
        <w:t xml:space="preserve">Восточная производственная база Восточного района электрических сетей </w:t>
      </w:r>
      <w:r>
        <w:rPr>
          <w:color w:val="000000"/>
        </w:rPr>
        <w:t xml:space="preserve"> относится к категории </w:t>
      </w:r>
      <w:r>
        <w:rPr>
          <w:color w:val="000000"/>
        </w:rPr>
        <w:t xml:space="preserve">НВОС III. </w:t>
      </w:r>
      <w:r>
        <w:rPr>
          <w:color w:val="000000"/>
        </w:rPr>
        <w:t xml:space="preserve">Всего на участке</w:t>
      </w:r>
      <w:r>
        <w:rPr>
          <w:color w:val="000000"/>
        </w:rPr>
        <w:t xml:space="preserve"> 4 источника выбросов загрязняющих веществ в атмосферу.</w:t>
      </w:r>
      <w:r>
        <w:rPr>
          <w:color w:val="000000"/>
        </w:rPr>
        <w:t xml:space="preserve">               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color w:val="000000"/>
          <w:lang w:val="ru-RU" w:eastAsia="ru-RU"/>
        </w:rPr>
      </w:r>
      <w:r>
        <w:rPr>
          <w:rFonts w:eastAsia="Times New Roman"/>
          <w:color w:val="000000"/>
          <w:lang w:val="ru-RU" w:eastAsia="ru-RU"/>
        </w:rPr>
      </w:r>
    </w:p>
    <w:p>
      <w:pPr>
        <w:pStyle w:val="894"/>
        <w:jc w:val="center"/>
        <w:spacing w:before="0" w:beforeAutospacing="0" w:after="0" w:afterAutospacing="0"/>
        <w:shd w:val="clear" w:color="auto" w:fill="ffffff"/>
        <w:rPr>
          <w:color w:val="000000"/>
          <w:highlight w:val="none"/>
        </w:rPr>
      </w:pPr>
      <w:r>
        <w:rPr>
          <w:color w:val="000000"/>
        </w:rPr>
        <w:t xml:space="preserve">Перечень загрязняющих веществ организованных источников выбросов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tbl>
      <w:tblPr>
        <w:tblW w:w="974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51"/>
        <w:gridCol w:w="6094"/>
      </w:tblGrid>
      <w:tr>
        <w:tblPrEx/>
        <w:trPr>
          <w:trHeight w:val="300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746" w:type="dxa"/>
            <w:vAlign w:val="center"/>
            <w:textDirection w:val="lrTb"/>
            <w:noWrap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ru-RU" w:eastAsia="ru-RU"/>
              </w:rPr>
              <w:t xml:space="preserve">Загрязняющее вещество</w:t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</w:p>
          <w:p>
            <w:pPr>
              <w:pStyle w:val="871"/>
              <w:widowControl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ru-RU" w:eastAsia="ru-RU"/>
              </w:rPr>
              <w:t xml:space="preserve">код</w:t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Наименование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0301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Азота диоксид (Азот 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(IV)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0304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 (II) оксид (Азота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288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0328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(сажа)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widowControl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0330</w:t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Сера диоксид (Ангидрид сернистый)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0333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Дигидросульфид (Сероводород)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0337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оксид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0703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Бенз/а/пирен (3,4-Бензпирен)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1325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Формальдегид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2704</w:t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Бензин (нефтяной,малосернистый) (в перечете на углерод)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 2732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Керосин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2754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Алкины С12-С-19 (Углеводороды предельные С12-С19)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Всего веществ 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11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в том числе твердых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2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жидких/газообразных 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9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</w:tbl>
    <w:p>
      <w:pPr>
        <w:pStyle w:val="871"/>
        <w:ind w:firstLine="706"/>
        <w:jc w:val="both"/>
        <w:spacing w:before="100" w:beforeAutospacing="1"/>
        <w:shd w:val="clear" w:color="auto" w:fill="ffffff"/>
        <w:widowControl/>
        <w:rPr>
          <w:rFonts w:eastAsia="Times New Roman"/>
          <w:color w:val="000000"/>
          <w:lang w:val="ru-RU" w:eastAsia="ru-RU"/>
        </w:rPr>
      </w:pPr>
      <w:r>
        <w:rPr>
          <w:lang w:val="ru-RU"/>
        </w:rPr>
        <w:t xml:space="preserve">3.</w:t>
      </w:r>
      <w:r>
        <w:rPr>
          <w:lang w:val="ru-RU"/>
        </w:rPr>
        <w:t xml:space="preserve">Западная производственная база Западного района электрических сетей относится к категории НВОС III. Всего на участке 4 источника выбросов загрязняющих веществ в атмосферу.</w:t>
      </w:r>
      <w:r>
        <w:rPr>
          <w:color w:val="000000"/>
        </w:rPr>
        <w:t xml:space="preserve">        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color w:val="000000"/>
          <w:lang w:val="ru-RU" w:eastAsia="ru-RU"/>
        </w:rPr>
      </w:r>
      <w:r>
        <w:rPr>
          <w:rFonts w:eastAsia="Times New Roman"/>
          <w:color w:val="000000"/>
          <w:lang w:val="ru-RU" w:eastAsia="ru-RU"/>
        </w:rPr>
      </w:r>
    </w:p>
    <w:p>
      <w:pPr>
        <w:pStyle w:val="894"/>
        <w:jc w:val="center"/>
        <w:spacing w:before="0" w:beforeAutospacing="0" w:after="0" w:afterAutospacing="0"/>
        <w:shd w:val="clear" w:color="auto" w:fill="ffffff"/>
        <w:rPr>
          <w:color w:val="000000"/>
          <w:highlight w:val="none"/>
        </w:rPr>
      </w:pPr>
      <w:r>
        <w:rPr>
          <w:color w:val="000000"/>
        </w:rPr>
        <w:t xml:space="preserve">Перечень загрязняющих веществ организованных источников выбросов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tbl>
      <w:tblPr>
        <w:tblW w:w="974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51"/>
        <w:gridCol w:w="6094"/>
      </w:tblGrid>
      <w:tr>
        <w:tblPrEx/>
        <w:trPr>
          <w:trHeight w:val="300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746" w:type="dxa"/>
            <w:vAlign w:val="center"/>
            <w:textDirection w:val="lrTb"/>
            <w:noWrap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ru-RU" w:eastAsia="ru-RU"/>
              </w:rPr>
              <w:t xml:space="preserve">Загрязняющее вещество</w:t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</w:p>
          <w:p>
            <w:pPr>
              <w:pStyle w:val="871"/>
              <w:widowControl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ru-RU" w:eastAsia="ru-RU"/>
              </w:rPr>
              <w:t xml:space="preserve">код</w:t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Наименование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0301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Азота диоксид (Азот 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(IV)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241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0304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 (II) оксид (Азота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41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0328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(сажа)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widowControl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0330</w:t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Сера диоксид (Ангидрид сернистый)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0333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Дигидросульфид (Сероводород)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0337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оксид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0703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Бенз/а/пирен (3,4-Бензпирен)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1325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Формальдегид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2704</w:t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Бензин (нефтяной,малосернистый) (в перечете на углерод)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 2732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Керосин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2754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Алкины С12-С-19 (Углеводороды предельные С12-С19)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Всего веществ 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11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в том числе твердых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2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жидких/газообразных 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9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</w:tbl>
    <w:p>
      <w:pPr>
        <w:pStyle w:val="894"/>
        <w:jc w:val="center"/>
        <w:spacing w:before="0" w:beforeAutospacing="0" w:after="0" w:afterAutospacing="0"/>
        <w:shd w:val="clear" w:color="auto" w:fill="ffff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71"/>
        <w:ind w:firstLine="706"/>
        <w:jc w:val="both"/>
        <w:spacing w:before="100" w:beforeAutospacing="1"/>
        <w:shd w:val="clear" w:color="auto" w:fill="ffffff"/>
        <w:widowControl/>
        <w:rPr>
          <w:rFonts w:eastAsia="Times New Roman"/>
          <w:color w:val="000000"/>
          <w:lang w:val="ru-RU" w:eastAsia="ru-RU"/>
        </w:rPr>
      </w:pPr>
      <w:r>
        <w:rPr>
          <w:lang w:val="ru-RU"/>
        </w:rPr>
        <w:t xml:space="preserve">4. </w:t>
      </w:r>
      <w:r>
        <w:rPr>
          <w:lang w:val="ru-RU"/>
        </w:rPr>
        <w:t xml:space="preserve">Южная производственная база Южного района электрических сетей </w:t>
      </w:r>
      <w:r>
        <w:rPr>
          <w:color w:val="000000"/>
        </w:rPr>
        <w:t xml:space="preserve"> относится к категории </w:t>
      </w:r>
      <w:r>
        <w:rPr>
          <w:color w:val="000000"/>
        </w:rPr>
        <w:t xml:space="preserve">НВОС III. </w:t>
      </w:r>
      <w:r>
        <w:rPr>
          <w:color w:val="000000"/>
        </w:rPr>
        <w:t xml:space="preserve">Всего на участке</w:t>
      </w:r>
      <w:r>
        <w:rPr>
          <w:color w:val="000000"/>
        </w:rPr>
        <w:t xml:space="preserve"> 4 источника выбросов загрязняющих веществ в атмосферу.</w:t>
      </w:r>
      <w:r>
        <w:rPr>
          <w:color w:val="000000"/>
        </w:rPr>
        <w:t xml:space="preserve">               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/>
          <w:color w:val="000000"/>
          <w:lang w:val="ru-RU" w:eastAsia="ru-RU"/>
        </w:rPr>
      </w:r>
      <w:r>
        <w:rPr>
          <w:rFonts w:eastAsia="Times New Roman"/>
          <w:color w:val="000000"/>
          <w:lang w:val="ru-RU" w:eastAsia="ru-RU"/>
        </w:rPr>
      </w:r>
    </w:p>
    <w:p>
      <w:pPr>
        <w:pStyle w:val="894"/>
        <w:jc w:val="center"/>
        <w:spacing w:before="0" w:beforeAutospacing="0" w:after="0" w:afterAutospacing="0"/>
        <w:shd w:val="clear" w:color="auto" w:fill="ffffff"/>
        <w:rPr>
          <w:color w:val="000000"/>
          <w:highlight w:val="none"/>
        </w:rPr>
      </w:pPr>
      <w:r>
        <w:rPr>
          <w:color w:val="000000"/>
        </w:rPr>
        <w:t xml:space="preserve">Перечень загрязняющих веществ организованных источников выбросов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tbl>
      <w:tblPr>
        <w:tblW w:w="974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51"/>
        <w:gridCol w:w="6094"/>
      </w:tblGrid>
      <w:tr>
        <w:tblPrEx/>
        <w:trPr>
          <w:trHeight w:val="300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746" w:type="dxa"/>
            <w:vAlign w:val="center"/>
            <w:textDirection w:val="lrTb"/>
            <w:noWrap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ru-RU" w:eastAsia="ru-RU"/>
              </w:rPr>
              <w:t xml:space="preserve">Загрязняющее вещество</w:t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</w:p>
          <w:p>
            <w:pPr>
              <w:pStyle w:val="871"/>
              <w:widowControl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ru-RU" w:eastAsia="ru-RU"/>
              </w:rPr>
              <w:t xml:space="preserve">код</w:t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jc w:val="center"/>
              <w:widowControl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Наименование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0301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Азота диоксид (Азот 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(IV)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0304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Азот (II) оксид (Азота оксид)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41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0328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(сажа)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widowControl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0330</w:t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Сера диоксид (Ангидрид сернистый)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0333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Дигидросульфид (Сероводород)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0337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Углерод оксид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0703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Бенз/а/пирен (3,4-Бензпирен)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1325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Формальдегид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2704</w:t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Бензин (нефтяной,малосернистый) (в перечете на углерод)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bottom"/>
            <w:textDirection w:val="lrTb"/>
            <w:noWrap/>
          </w:tcPr>
          <w:p>
            <w:pPr>
              <w:pStyle w:val="871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 2732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Керосин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48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 2754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Алкины С12-С-19 (Углеводороды предельные С12-С19)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Всего веществ 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11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  <w:t xml:space="preserve"> 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в том числе твердых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2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651" w:type="dxa"/>
            <w:vAlign w:val="center"/>
            <w:textDirection w:val="lrTb"/>
            <w:noWrap/>
          </w:tcPr>
          <w:p>
            <w:pPr>
              <w:pStyle w:val="871"/>
              <w:widowControl/>
              <w:rPr>
                <w:rFonts w:eastAsia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жидких/газообразных </w:t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94" w:type="dxa"/>
            <w:vAlign w:val="center"/>
            <w:textDirection w:val="lrTb"/>
            <w:noWrap w:val="false"/>
          </w:tcPr>
          <w:p>
            <w:pPr>
              <w:pStyle w:val="871"/>
              <w:widowControl/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  <w:t xml:space="preserve">9</w:t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  <w:r>
              <w:rPr>
                <w:rFonts w:eastAsia="Times New Roman"/>
                <w:color w:val="000000"/>
                <w:sz w:val="18"/>
                <w:szCs w:val="18"/>
                <w:lang w:val="ru-RU" w:eastAsia="ru-RU"/>
              </w:rPr>
            </w:r>
          </w:p>
        </w:tc>
      </w:tr>
    </w:tbl>
    <w:p>
      <w:pPr>
        <w:spacing w:after="0" w:afterAutospacing="0" w:line="317" w:lineRule="exact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firstLine="706"/>
        <w:jc w:val="both"/>
        <w:keepNext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</w:rPr>
        <w:t xml:space="preserve">1.5.3. Предельная цена настоящего Договора составляет 2 150 000 (два миллиона сто пятьдесят тысяч) 00 копеек, в том числе НДС 22%.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/>
    </w:p>
    <w:p>
      <w:pPr>
        <w:ind w:left="0" w:firstLine="706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</w:rPr>
        <w:t xml:space="preserve">1.5.4. 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left="0" w:firstLine="706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  <w:t xml:space="preserve">1.5.5. Фоновые и климатические характеристики, инструментальные замеры (при необходимости), экспертизу проекта ПДВ в органе, аккредитованном на проведение санитарных экспертиз, оплачивает Исполнитель.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left="0" w:firstLine="706"/>
        <w:jc w:val="both"/>
        <w:keepNext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</w:rPr>
        <w:t xml:space="preserve">1.5.6. Заказчик вправе в любое время проверять ход и качество оказания услуг Исполнителем, не вмешиваясь в его деятельность.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/>
    </w:p>
    <w:p>
      <w:pPr>
        <w:ind w:left="0" w:firstLine="706"/>
        <w:jc w:val="both"/>
        <w:keepNext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</w:rPr>
        <w:t xml:space="preserve">1.5.7. Стороны обязуются немедленно информировать друг друга об обстоятельствах, препятствующих оказанию услуг, для своевременного принятия мер по их устранению.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/>
    </w:p>
    <w:p>
      <w:pPr>
        <w:ind w:left="0" w:firstLine="706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</w:rPr>
        <w:t xml:space="preserve">1.5.8. Услуги считаются оказанными после подписания Сторонами Акта об оказании услуг.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left="54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1.6. Качество услуг: 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качество выполняемых работ должно точно соответствовать требованиям природоохранного законодательства РФ, а именно: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 Федеральному закону от 10.01.2002 № 7-ФЗ «Об охране окружающей среды»;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 Федеральному закону от 04.05.1999 № 96-ФЗ «Об охране атмосферного воздуха»;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 Федеральному закону от 30.03.1999 № 52-ФЗ «О санитарно-эпидемиологическом благополучии населения»;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 Постановлению Правительства РФ от 9 декабря 2020 г. № 2055 "О предельно допустимых выбросах, временно разрешенных выбросах, предельно допустимых нормативах вредных физических воздействий на атмосферный воздух и разрешениях на выбросы загрязняющих веществ 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в атмосферный воздух";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 Приказу Министерства природных ресурсов и экологии РФ от 19 ноября 2021 г. № 871 "Об утверждении Порядка проведения инвентаризации стационарных источников и выбросов загрязняющих веществ в атмосферный воздух, корректировки ее данных, документирования и хр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анения данных, полученных в результате проведения таких инвентаризации и корректировки";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 Приказу Министерства природных ресурсов и экологии РФ от 11.08.2020 № 581 «Об утверждении методики разработки (расчета) и установления нормативов допустимых выбросов загрязняющих веществ в атмосферный воздух»;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 Приказу Министерства природных ресурсов и экологии РФ от 28.11.2019 № 811 «Об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условий»;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 Письму Министерства природных ресурсов и экологии РФ от 27.07.2020 № 12-50/9437-ОГ «О мероприятиях при НМУ»;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</w:r>
      <w:r>
        <w:rPr>
          <w:b w:val="0"/>
          <w:bCs w:val="0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b w:val="0"/>
          <w:bCs w:val="0"/>
          <w:highlight w:val="none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· СанПиН 1.2.3685-21 "Гигиенические нормативы и требования к обеспечению безопасности и (или) безвредности для человека факторов среды обитания",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  <w:lang w:eastAsia="ru-RU"/>
        </w:rPr>
        <w:t xml:space="preserve">и другие действующие на момент выполнения работ нормативно-правовые документы, предусмотренные законодательством РФ, в части выполнения настоящих работ.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highlight w:val="none"/>
        </w:rPr>
      </w:r>
    </w:p>
    <w:p>
      <w:pPr>
        <w:ind w:left="0" w:right="0" w:firstLine="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outlineLvl w:val="0"/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r>
    </w:p>
    <w:p>
      <w:pPr>
        <w:pStyle w:val="711"/>
        <w:numPr>
          <w:ilvl w:val="0"/>
          <w:numId w:val="6"/>
        </w:numPr>
        <w:ind w:left="0" w:firstLine="709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highlight w:val="none"/>
        </w:rPr>
      </w:r>
      <w:bookmarkStart w:id="0" w:name="undefined"/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Требования к выполнению </w:t>
      </w:r>
      <w:bookmarkEnd w:id="0"/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услуг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: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left="0" w:firstLine="706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t xml:space="preserve">2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t xml:space="preserve">.1. Услуги выполняются в соответствии с требованиями Федеральных законов и других нормативных правовых актов и документов, указанных в пункте 1, действующих в течение периода разработки документации, в части выполнения настоящих работ, с применением правил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t xml:space="preserve"> и методик расчета, предусмотренных законодательством РФ, действующих в период действия договора.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r>
      <w:r>
        <w:rPr>
          <w:b w:val="0"/>
          <w:bCs w:val="0"/>
        </w:rPr>
      </w:r>
    </w:p>
    <w:p>
      <w:pPr>
        <w:ind w:left="709" w:firstLine="0"/>
        <w:jc w:val="both"/>
        <w:keepNext/>
        <w:spacing w:after="0" w:line="240" w:lineRule="auto"/>
        <w:widowControl w:val="off"/>
        <w:rPr>
          <w:b w:val="0"/>
          <w:bCs w:val="0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r>
      <w:r>
        <w:rPr>
          <w:b w:val="0"/>
          <w:bCs w:val="0"/>
        </w:rPr>
      </w:r>
    </w:p>
    <w:p>
      <w:pPr>
        <w:ind w:left="0" w:firstLine="706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t xml:space="preserve">2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t xml:space="preserve">.2. Инструментальные измерения показателей выбросов выполняются в соответствии с законодательством Российской Федерации об обеспечении единства измерений юридическими лицами и индивидуальными предпринимателями, аккредитованными в соответствии с законодател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  <w:t xml:space="preserve">ьством Российской Федерации об аккредитации в национальной системе аккредитации.</w:t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r>
    </w:p>
    <w:p>
      <w:pPr>
        <w:ind w:left="0" w:firstLine="0"/>
        <w:jc w:val="both"/>
        <w:keepNext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 w:cs="Calibri"/>
          <w:b/>
          <w:color w:val="262626"/>
          <w:sz w:val="24"/>
          <w:szCs w:val="24"/>
          <w:highlight w:val="none"/>
          <w:lang w:eastAsia="ru-RU"/>
        </w:rPr>
        <w:t xml:space="preserve">3. </w:t>
      </w: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Требования к исполнителю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3.1. Наличие собственной испытательной лаборатории, аккредитованной по отбору, анализу и инструментальным замерам проб атмосферного воздуха, с областью аккредитации, достаточной для выполнения услуг в объеме, определенном техническим заданием;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3.2. Наличие аттестата аккредитации испытательной лаборатории (центра) и области аккредитации испытательной лаборатории (центра);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.3. Исполнитель должен обладать квалифицированными кадрами (опыт работы не менее 5 лет по разработке проектов нормативов предельно допустимых выбросов) и собственной материально-технической, программной базой для оказания услуг, соответствующих техническом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у заданию;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3.4. Для оказания услуги исполнитель предоставляет свой инструмент, оборудование, рабочую силу, расходные материалы, необходимые для оказания услуги;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3.5. Испытательное оборудование и средства измерений, которые будут применяться при оказании услуг, должны иметь паспорта или действующие свидетельства о поверке на средства измерений;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3.6. Исполнитель гарантирует качество выполняемых услуг и сроки их выполнения;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3.7. Использование методов отбора проб и проведения анализов, отвечающих требованиям нормативно-правовых актов в области экологической безопасности, охраны труда и санитарного законодательства РФ;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3.8. Исполнитель выполняет услуги в соответствии с действующими нормами и природоохранным законодательством;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3.9. Исполнитель работ проходит экспертизы и согласование проектной документации в соответствии с действующим законодательством РФ;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3.10. В случае получения отрицательного заключения экспертиз, согласований проектная организация проходит все повторные экспертизы за свой счет;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3.11. Необходимые корректировки проектных решений, возникшие в процессе согласований, проектная организация выполняет без дополнительной оплаты.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3.12. Оказать услуги в полном объеме и в указанный срок с надлежащим качеством.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3.13. Сообщать по требованию Заказчика все сведения о ходе выполнения его указаний.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3.14. Исполнитель обязан немедленно предупредить Заказчика и до получения от него указаний приостановить оказание услуг при обнаружении: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а) возможных неблагоприятных для Заказчика последствий выполнения его указаний о способе оказания услуги;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/>
    </w:p>
    <w:p>
      <w:pPr>
        <w:ind w:firstLine="706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6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b/>
          <w:bCs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/>
          <w:bCs/>
          <w:sz w:val="24"/>
          <w:szCs w:val="24"/>
          <w:highlight w:val="none"/>
        </w:rPr>
        <w:t xml:space="preserve">5.</w:t>
      </w:r>
      <w:r>
        <w:rPr>
          <w:b/>
          <w:bCs/>
          <w:highlight w:val="none"/>
          <w:lang w:val="ru-RU"/>
        </w:rPr>
        <w:t xml:space="preserve">Результат выполнения работ</w:t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bCs/>
          <w:sz w:val="24"/>
          <w:szCs w:val="24"/>
          <w:highlight w:val="none"/>
        </w:rPr>
      </w:r>
    </w:p>
    <w:p>
      <w:pPr>
        <w:pStyle w:val="892"/>
        <w:ind w:firstLine="706"/>
        <w:jc w:val="both"/>
        <w:spacing w:line="100" w:lineRule="atLeast"/>
      </w:pPr>
      <w:r>
        <w:rPr>
          <w:highlight w:val="none"/>
        </w:rPr>
        <w:t xml:space="preserve">5.1. Инвентаризация источников выбросов загрязняющих веществ в атмосферный воздух на объектах НВОС АО «Россети Сибирь Тываэнерго», разработанная в соответствии с действующими нормативно-правовыми документами.</w:t>
      </w:r>
      <w:r>
        <w:rPr>
          <w:highlight w:val="none"/>
        </w:rPr>
      </w:r>
      <w:r/>
    </w:p>
    <w:p>
      <w:pPr>
        <w:pStyle w:val="892"/>
        <w:ind w:firstLine="706"/>
        <w:jc w:val="both"/>
        <w:spacing w:line="100" w:lineRule="atLeast"/>
      </w:pPr>
      <w:r>
        <w:rPr>
          <w:highlight w:val="none"/>
        </w:rPr>
        <w:t xml:space="preserve">5</w:t>
      </w:r>
      <w:r>
        <w:rPr>
          <w:highlight w:val="none"/>
        </w:rPr>
        <w:t xml:space="preserve">.2. Определение качественного и количественного состава выбросов из выявленных ИЗАВ расчетными методами или, при необходимости, инструментальным методом. Проведение лабораторных испытаний источников выбросов стационарных источников в случае применения инст</w:t>
      </w:r>
      <w:r>
        <w:rPr>
          <w:highlight w:val="none"/>
        </w:rPr>
        <w:t xml:space="preserve">рументального метода не менее трех определений по каждому ИЗАВ.</w:t>
      </w:r>
      <w:r>
        <w:rPr>
          <w:highlight w:val="none"/>
        </w:rPr>
      </w:r>
      <w:r/>
    </w:p>
    <w:p>
      <w:pPr>
        <w:pStyle w:val="892"/>
        <w:ind w:firstLine="706"/>
        <w:jc w:val="both"/>
        <w:spacing w:line="100" w:lineRule="atLeast"/>
      </w:pPr>
      <w:r>
        <w:rPr>
          <w:highlight w:val="none"/>
        </w:rPr>
        <w:t xml:space="preserve">5.3. Проект нормативов допустимых выбросов загрязняющих веществ в атмосферный воздух на объектах НВОС АО «Россети Сибирь Тываэнерго», разработанный в соответствии с действующими нормативно-правовыми документами.</w:t>
      </w:r>
      <w:r>
        <w:rPr>
          <w:highlight w:val="none"/>
        </w:rPr>
      </w:r>
      <w:r/>
    </w:p>
    <w:p>
      <w:pPr>
        <w:pStyle w:val="892"/>
        <w:ind w:firstLine="706"/>
        <w:jc w:val="both"/>
        <w:spacing w:line="100" w:lineRule="atLeast"/>
      </w:pPr>
      <w:r>
        <w:rPr>
          <w:highlight w:val="none"/>
        </w:rPr>
        <w:t xml:space="preserve">5</w:t>
      </w:r>
      <w:r>
        <w:rPr>
          <w:highlight w:val="none"/>
        </w:rPr>
        <w:t xml:space="preserve">.4. Получение положительного экспертного заключения на проекты ПДВ (НДВ) в органе, аккредитованном на проведение санитарных экспертиз, и положительного санитарно-эпидемиологического заключения на проект НДВ на соответствие требованиям санитарных правил и н</w:t>
      </w:r>
      <w:r>
        <w:rPr>
          <w:highlight w:val="none"/>
        </w:rPr>
        <w:t xml:space="preserve">орм в управлении Роспотребнадзора по Республике Тыва.</w:t>
      </w:r>
      <w:r>
        <w:rPr>
          <w:highlight w:val="none"/>
        </w:rPr>
      </w:r>
      <w:r/>
    </w:p>
    <w:p>
      <w:pPr>
        <w:pStyle w:val="892"/>
        <w:ind w:firstLine="706"/>
        <w:jc w:val="both"/>
        <w:spacing w:line="100" w:lineRule="atLeast"/>
      </w:pPr>
      <w:r>
        <w:rPr>
          <w:highlight w:val="none"/>
        </w:rPr>
        <w:t xml:space="preserve">5</w:t>
      </w:r>
      <w:r>
        <w:rPr>
          <w:highlight w:val="none"/>
        </w:rPr>
        <w:t xml:space="preserve">.5. Перечень мероприятий по уменьшению выбросов загрязняющих веществ в атмосферный воздух в периоды неблагоприятных метеорологических условий (НМУ) для объектов НВОС АО «Россети Сибирь Тываэнерго», разработанных в соответствии с действующими нормативно-пра</w:t>
      </w:r>
      <w:r>
        <w:rPr>
          <w:highlight w:val="none"/>
        </w:rPr>
        <w:t xml:space="preserve">вовыми документами, согласованный с органами исполнительной власти субъекта Российской Федерации, уполномоченными на осуществление регионального государственного экологического надзора.</w:t>
      </w:r>
      <w:r>
        <w:rPr>
          <w:highlight w:val="none"/>
        </w:rPr>
      </w:r>
      <w:r/>
    </w:p>
    <w:p>
      <w:pPr>
        <w:pStyle w:val="892"/>
        <w:ind w:firstLine="706"/>
        <w:jc w:val="both"/>
        <w:spacing w:line="100" w:lineRule="atLeast"/>
      </w:pPr>
      <w:r>
        <w:rPr>
          <w:highlight w:val="none"/>
        </w:rPr>
        <w:t xml:space="preserve">5.6. План-график контроля промышленных выбросов и выбросов в атмосферный воздух для объектов НВОС АО «Россети Сибирь Тываэнерго».</w:t>
      </w:r>
      <w:r>
        <w:rPr>
          <w:highlight w:val="none"/>
        </w:rPr>
      </w:r>
      <w:r/>
    </w:p>
    <w:p>
      <w:pPr>
        <w:pStyle w:val="892"/>
        <w:ind w:firstLine="706"/>
        <w:jc w:val="both"/>
        <w:spacing w:line="100" w:lineRule="atLeast"/>
        <w:rPr>
          <w:highlight w:val="none"/>
        </w:rPr>
      </w:pPr>
      <w:r>
        <w:rPr>
          <w:highlight w:val="none"/>
        </w:rPr>
        <w:t xml:space="preserve">5.7. Согласование и утверждение разработанной документации в уполномоченных государственных контролирующих органах в соответствии с требованиями действующего законодательства.</w:t>
      </w:r>
      <w:r>
        <w:rPr>
          <w:highlight w:val="none"/>
        </w:rPr>
      </w:r>
      <w:r>
        <w:rPr>
          <w:highlight w:val="none"/>
        </w:rPr>
      </w:r>
    </w:p>
    <w:p>
      <w:pPr>
        <w:pStyle w:val="892"/>
        <w:ind w:firstLine="706"/>
        <w:jc w:val="both"/>
        <w:spacing w:line="100" w:lineRule="atLeast"/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706"/>
        <w:jc w:val="both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6. Требования к объему документации, предоставляемой заказчику: 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pStyle w:val="892"/>
        <w:ind w:firstLine="706"/>
        <w:jc w:val="both"/>
      </w:pPr>
      <w:r>
        <w:t xml:space="preserve">6</w:t>
      </w:r>
      <w:r>
        <w:t xml:space="preserve">.1. Проектная документация передается Заказчику на согласование в 1 (одном) экземпляре на бумажных носителях и 1 (одном) экземпляре на электронном носителе; текстовые файлы в формате редактора Р-7 docx, таблицы в формате Р-7 xlsx, графические материалы — в</w:t>
      </w:r>
      <w:r>
        <w:t xml:space="preserve"> формате PDF.</w:t>
      </w:r>
      <w:r/>
    </w:p>
    <w:p>
      <w:pPr>
        <w:pStyle w:val="892"/>
        <w:ind w:firstLine="706"/>
        <w:jc w:val="both"/>
      </w:pPr>
      <w:r>
        <w:t xml:space="preserve">4.2. На экспертизы (согласования) проектную документацию передает Исполнитель (свои экземпляры).</w:t>
      </w:r>
      <w:r/>
    </w:p>
    <w:p>
      <w:pPr>
        <w:pStyle w:val="892"/>
        <w:ind w:firstLine="706"/>
        <w:jc w:val="both"/>
      </w:pPr>
      <w:r>
        <w:t xml:space="preserve">4</w:t>
      </w:r>
      <w:r>
        <w:t xml:space="preserve">.3. После прохождения экспертиз и согласований проектная документация передается Заказчику в 2-х экземплярах на бумажных носителях, из них один экземпляр должен содержать полностью все подлинники собранных материалов, и в 1 (одном) на электронном носителе </w:t>
      </w:r>
      <w:r>
        <w:t xml:space="preserve">(в форматах Компас-График (допускается AutoCad), PDF (сканированные изображения документов с оригинальными подписями исполнителей проектной организации), docx, xlsx).</w:t>
      </w:r>
      <w:r/>
    </w:p>
    <w:p>
      <w:pPr>
        <w:pStyle w:val="892"/>
        <w:ind w:firstLine="706"/>
        <w:jc w:val="both"/>
      </w:pPr>
      <w:r>
        <w:t xml:space="preserve">4.4. Представляемые экземпляры документации в бумажной форме должны быть аутентичны документации, представляемой в электронной форме.</w:t>
      </w:r>
      <w:r/>
    </w:p>
    <w:p>
      <w:pPr>
        <w:pStyle w:val="892"/>
        <w:ind w:firstLine="706"/>
        <w:jc w:val="both"/>
        <w:rPr>
          <w:highlight w:val="none"/>
        </w:rPr>
      </w:pPr>
      <w:r>
        <w:t xml:space="preserve">4</w:t>
      </w:r>
      <w:r>
        <w:t xml:space="preserve">.5. Электронный носитель должен содержать этикетку с полным названием объекта, электронные документы в форматах использованных программ, а также в следующих форматах: текстовые документы - «.docx», таблицы, диаграммы - «.xlsx», чертежи, схемы - «.pdf». Наи</w:t>
      </w:r>
      <w:r>
        <w:t xml:space="preserve">менования папок должны совпадать с наименованиями чертежей (ведомостей).</w:t>
      </w:r>
      <w:r>
        <w:rPr>
          <w:highlight w:val="none"/>
        </w:rPr>
      </w:r>
    </w:p>
    <w:p>
      <w:pPr>
        <w:pStyle w:val="892"/>
        <w:ind w:firstLine="706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851"/>
        <w:jc w:val="both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b/>
          <w:sz w:val="24"/>
          <w:szCs w:val="24"/>
          <w:highlight w:val="none"/>
          <w:lang w:eastAsia="ru-RU"/>
        </w:rPr>
        <w:t xml:space="preserve">7. Требования к объему документации, предоставляемой к закупке для оценки предложения по лоту</w:t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/>
          <w:b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Участник должен подготовить следующие документы: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highlight w:val="none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Аттестат аккредитации лаборатории (центра)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 зарегистрированного в едином </w:t>
      </w: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  <w:t xml:space="preserve">реестре системы РОСАККРЕДИТАЦИИ (ФЗ от 28.12.2013 г. №412 «Об аккредитации в национальной системе аккредитации») </w:t>
      </w:r>
      <w:r>
        <w:rPr>
          <w:rFonts w:ascii="Times New Roman" w:hAnsi="Times New Roman" w:eastAsia="Times New Roman"/>
          <w:sz w:val="24"/>
          <w:szCs w:val="24"/>
          <w:highlight w:val="none"/>
        </w:rPr>
      </w:r>
      <w:r>
        <w:rPr>
          <w:rFonts w:ascii="Times New Roman" w:hAnsi="Times New Roman" w:eastAsia="Times New Roman"/>
          <w:sz w:val="24"/>
          <w:szCs w:val="24"/>
          <w:highlight w:val="none"/>
        </w:rPr>
      </w:r>
    </w:p>
    <w:p>
      <w:pPr>
        <w:ind w:firstLine="0"/>
        <w:jc w:val="both"/>
        <w:spacing w:after="0" w:line="240" w:lineRule="auto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968"/>
        <w:gridCol w:w="3389"/>
        <w:gridCol w:w="1816"/>
        <w:gridCol w:w="2614"/>
      </w:tblGrid>
      <w:tr>
        <w:tblPrEx/>
        <w:trPr>
          <w:trHeight w:val="497"/>
        </w:trPr>
        <w:tc>
          <w:tcPr>
            <w:gridSpan w:val="2"/>
            <w:tcW w:w="1544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  <w:p>
            <w:pPr>
              <w:ind w:firstLine="34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3389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1816" w:type="dxa"/>
            <w:vAlign w:val="center"/>
            <w:textDirection w:val="lrTb"/>
            <w:noWrap w:val="false"/>
          </w:tcPr>
          <w:p>
            <w:pPr>
              <w:ind w:firstLine="45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</w:tr>
      <w:tr>
        <w:tblPrEx/>
        <w:trPr>
          <w:trHeight w:val="1309"/>
        </w:trPr>
        <w:tc>
          <w:tcPr>
            <w:gridSpan w:val="2"/>
            <w:tcW w:w="1544" w:type="dxa"/>
            <w:vAlign w:val="center"/>
            <w:textDirection w:val="lrTb"/>
            <w:noWrap w:val="false"/>
          </w:tcPr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  <w:p>
            <w:pPr>
              <w:ind w:firstLine="851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33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Заместитель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главного инженера – начальник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с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лужбы производственной безопасности и производственного контроля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  <w:p>
            <w:pPr>
              <w:ind w:firstLine="34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АО «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Россети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 Сибирь 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Тываэнерго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»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1816" w:type="dxa"/>
            <w:vAlign w:val="center"/>
            <w:textDirection w:val="lrTb"/>
            <w:noWrap w:val="false"/>
          </w:tcPr>
          <w:p>
            <w:pPr>
              <w:ind w:firstLine="851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  <w:tc>
          <w:tcPr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  <w:t xml:space="preserve">В.В. Жмак</w:t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pacing w:val="6"/>
                <w:sz w:val="24"/>
                <w:szCs w:val="24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1906" w:h="16838" w:orient="portrait"/>
      <w:pgMar w:top="1417" w:right="850" w:bottom="1417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MS PMincho">
    <w:panose1 w:val="02020503050405090304"/>
  </w:font>
  <w:font w:name="Tahoma">
    <w:panose1 w:val="020B0606040504020204"/>
  </w:font>
  <w:font w:name="Times New Roman">
    <w:panose1 w:val="02020603050405020304"/>
  </w:font>
  <w:font w:name="Andale Sans UI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3"/>
      <w:jc w:val="right"/>
    </w:pPr>
    <w:fldSimple w:instr="PAGE \* MERGEFORMAT">
      <w:r>
        <w:t xml:space="preserve">1</w:t>
      </w:r>
    </w:fldSimple>
    <w:r/>
    <w:r/>
  </w:p>
  <w:p>
    <w:pPr>
      <w:pStyle w:val="72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pStyle w:val="872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pStyle w:val="873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0" w:hanging="45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0" w:hanging="450"/>
      </w:pPr>
      <w:rPr>
        <w:rFonts w:ascii="Times New Roman" w:hAnsi="Times New Roman" w:eastAsia="Andale Sans UI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0" w:hanging="450"/>
      </w:pPr>
      <w:rPr>
        <w:rFonts w:ascii="Times New Roman" w:hAnsi="Times New Roman" w:eastAsia="Andale Sans UI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00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6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71"/>
    <w:next w:val="871"/>
    <w:link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4">
    <w:name w:val="Heading 1 Char"/>
    <w:link w:val="693"/>
    <w:uiPriority w:val="9"/>
    <w:rPr>
      <w:rFonts w:ascii="Arial" w:hAnsi="Arial" w:eastAsia="Arial" w:cs="Arial"/>
      <w:sz w:val="40"/>
      <w:szCs w:val="40"/>
    </w:rPr>
  </w:style>
  <w:style w:type="paragraph" w:styleId="695">
    <w:name w:val="Heading 2"/>
    <w:basedOn w:val="871"/>
    <w:next w:val="871"/>
    <w:link w:val="69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6">
    <w:name w:val="Heading 2 Char"/>
    <w:link w:val="695"/>
    <w:uiPriority w:val="9"/>
    <w:rPr>
      <w:rFonts w:ascii="Arial" w:hAnsi="Arial" w:eastAsia="Arial" w:cs="Arial"/>
      <w:sz w:val="34"/>
    </w:rPr>
  </w:style>
  <w:style w:type="paragraph" w:styleId="697">
    <w:name w:val="Heading 3"/>
    <w:basedOn w:val="871"/>
    <w:next w:val="871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8">
    <w:name w:val="Heading 3 Char"/>
    <w:link w:val="697"/>
    <w:uiPriority w:val="9"/>
    <w:rPr>
      <w:rFonts w:ascii="Arial" w:hAnsi="Arial" w:eastAsia="Arial" w:cs="Arial"/>
      <w:sz w:val="30"/>
      <w:szCs w:val="30"/>
    </w:rPr>
  </w:style>
  <w:style w:type="paragraph" w:styleId="699">
    <w:name w:val="Heading 4"/>
    <w:basedOn w:val="871"/>
    <w:next w:val="871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871"/>
    <w:next w:val="871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871"/>
    <w:next w:val="871"/>
    <w:link w:val="7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871"/>
    <w:next w:val="871"/>
    <w:link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871"/>
    <w:next w:val="871"/>
    <w:link w:val="70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Arial" w:hAnsi="Arial" w:eastAsia="Arial" w:cs="Arial"/>
      <w:i/>
      <w:iCs/>
      <w:sz w:val="22"/>
      <w:szCs w:val="22"/>
    </w:rPr>
  </w:style>
  <w:style w:type="paragraph" w:styleId="709">
    <w:name w:val="Heading 9"/>
    <w:basedOn w:val="871"/>
    <w:next w:val="871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871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basedOn w:val="871"/>
    <w:next w:val="871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basedOn w:val="871"/>
    <w:next w:val="871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basedOn w:val="871"/>
    <w:next w:val="871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basedOn w:val="871"/>
    <w:next w:val="871"/>
    <w:link w:val="7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basedOn w:val="871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basedOn w:val="871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basedOn w:val="871"/>
    <w:next w:val="871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link w:val="725"/>
    <w:uiPriority w:val="35"/>
    <w:rPr>
      <w:b/>
      <w:bCs/>
      <w:color w:val="4f81bd" w:themeColor="accent1"/>
      <w:sz w:val="18"/>
      <w:szCs w:val="18"/>
    </w:rPr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paragraph" w:styleId="871" w:default="1">
    <w:name w:val="Normal"/>
    <w:next w:val="871"/>
    <w:link w:val="871"/>
    <w:qFormat/>
    <w:pPr>
      <w:widowControl w:val="off"/>
    </w:pPr>
    <w:rPr>
      <w:rFonts w:eastAsia="Andale Sans UI"/>
      <w:sz w:val="24"/>
      <w:szCs w:val="24"/>
      <w:lang w:val="en-US" w:eastAsia="en-US" w:bidi="ar-SA"/>
    </w:rPr>
  </w:style>
  <w:style w:type="paragraph" w:styleId="872">
    <w:name w:val="Заголовок 2"/>
    <w:basedOn w:val="887"/>
    <w:next w:val="888"/>
    <w:link w:val="871"/>
    <w:qFormat/>
    <w:pPr>
      <w:numPr>
        <w:ilvl w:val="1"/>
        <w:numId w:val="1"/>
      </w:numPr>
      <w:ind w:left="0" w:right="0" w:firstLine="0"/>
      <w:outlineLvl w:val="1"/>
    </w:pPr>
    <w:rPr>
      <w:rFonts w:ascii="Times New Roman" w:hAnsi="Times New Roman" w:eastAsia="MS PMincho" w:cs="Tahoma"/>
      <w:b/>
      <w:bCs/>
      <w:sz w:val="36"/>
      <w:szCs w:val="36"/>
    </w:rPr>
  </w:style>
  <w:style w:type="paragraph" w:styleId="873">
    <w:name w:val="Заголовок 3"/>
    <w:basedOn w:val="887"/>
    <w:next w:val="888"/>
    <w:link w:val="871"/>
    <w:qFormat/>
    <w:pPr>
      <w:numPr>
        <w:ilvl w:val="2"/>
        <w:numId w:val="1"/>
      </w:numPr>
      <w:ind w:left="0" w:right="0" w:firstLine="0"/>
      <w:outlineLvl w:val="2"/>
    </w:pPr>
    <w:rPr>
      <w:rFonts w:ascii="Times New Roman" w:hAnsi="Times New Roman" w:eastAsia="MS PMincho" w:cs="Tahoma"/>
      <w:b/>
      <w:bCs/>
      <w:sz w:val="28"/>
      <w:szCs w:val="28"/>
    </w:rPr>
  </w:style>
  <w:style w:type="character" w:styleId="874">
    <w:name w:val="Основной шрифт абзаца"/>
    <w:next w:val="874"/>
    <w:link w:val="871"/>
    <w:uiPriority w:val="1"/>
    <w:semiHidden/>
    <w:unhideWhenUsed/>
  </w:style>
  <w:style w:type="table" w:styleId="875">
    <w:name w:val="Обычная таблица"/>
    <w:next w:val="875"/>
    <w:link w:val="871"/>
    <w:uiPriority w:val="99"/>
    <w:semiHidden/>
    <w:unhideWhenUsed/>
    <w:tblPr/>
  </w:style>
  <w:style w:type="numbering" w:styleId="876">
    <w:name w:val="Нет списка"/>
    <w:next w:val="876"/>
    <w:link w:val="871"/>
    <w:uiPriority w:val="99"/>
    <w:semiHidden/>
    <w:unhideWhenUsed/>
  </w:style>
  <w:style w:type="character" w:styleId="877">
    <w:name w:val="WW8Num1z0"/>
    <w:next w:val="877"/>
    <w:link w:val="871"/>
  </w:style>
  <w:style w:type="character" w:styleId="878">
    <w:name w:val="WW8Num1z1"/>
    <w:next w:val="878"/>
    <w:link w:val="871"/>
  </w:style>
  <w:style w:type="character" w:styleId="879">
    <w:name w:val="WW8Num1z2"/>
    <w:next w:val="879"/>
    <w:link w:val="871"/>
  </w:style>
  <w:style w:type="character" w:styleId="880">
    <w:name w:val="WW8Num1z3"/>
    <w:next w:val="880"/>
    <w:link w:val="871"/>
  </w:style>
  <w:style w:type="character" w:styleId="881">
    <w:name w:val="WW8Num1z4"/>
    <w:next w:val="881"/>
    <w:link w:val="871"/>
  </w:style>
  <w:style w:type="character" w:styleId="882">
    <w:name w:val="WW8Num1z5"/>
    <w:next w:val="882"/>
    <w:link w:val="871"/>
  </w:style>
  <w:style w:type="character" w:styleId="883">
    <w:name w:val="WW8Num1z6"/>
    <w:next w:val="883"/>
    <w:link w:val="871"/>
  </w:style>
  <w:style w:type="character" w:styleId="884">
    <w:name w:val="WW8Num1z7"/>
    <w:next w:val="884"/>
    <w:link w:val="871"/>
  </w:style>
  <w:style w:type="character" w:styleId="885">
    <w:name w:val="WW8Num1z8"/>
    <w:next w:val="885"/>
    <w:link w:val="871"/>
  </w:style>
  <w:style w:type="character" w:styleId="886">
    <w:name w:val="Гиперссылка"/>
    <w:next w:val="886"/>
    <w:link w:val="871"/>
    <w:rPr>
      <w:color w:val="000080"/>
      <w:u w:val="single"/>
      <w:lang w:val="en-US" w:eastAsia="en-US" w:bidi="en-US"/>
    </w:rPr>
  </w:style>
  <w:style w:type="paragraph" w:styleId="887">
    <w:name w:val="Заголовок"/>
    <w:basedOn w:val="871"/>
    <w:next w:val="888"/>
    <w:link w:val="871"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888">
    <w:name w:val="Основной текст"/>
    <w:basedOn w:val="871"/>
    <w:next w:val="888"/>
    <w:link w:val="871"/>
    <w:pPr>
      <w:spacing w:before="0" w:after="120"/>
    </w:pPr>
  </w:style>
  <w:style w:type="paragraph" w:styleId="889">
    <w:name w:val="Список"/>
    <w:basedOn w:val="888"/>
    <w:next w:val="889"/>
    <w:link w:val="871"/>
    <w:rPr>
      <w:rFonts w:cs="Tahoma"/>
    </w:rPr>
  </w:style>
  <w:style w:type="paragraph" w:styleId="890">
    <w:name w:val="Название1"/>
    <w:basedOn w:val="871"/>
    <w:next w:val="890"/>
    <w:link w:val="871"/>
    <w:pPr>
      <w:spacing w:before="120" w:after="120"/>
      <w:suppressLineNumbers/>
    </w:pPr>
    <w:rPr>
      <w:rFonts w:cs="Tahoma"/>
      <w:i/>
      <w:iCs/>
      <w:sz w:val="24"/>
      <w:szCs w:val="24"/>
    </w:rPr>
  </w:style>
  <w:style w:type="paragraph" w:styleId="891">
    <w:name w:val="Указатель1"/>
    <w:basedOn w:val="871"/>
    <w:next w:val="891"/>
    <w:link w:val="871"/>
    <w:pPr>
      <w:suppressLineNumbers/>
    </w:pPr>
    <w:rPr>
      <w:rFonts w:cs="Tahoma"/>
    </w:rPr>
  </w:style>
  <w:style w:type="paragraph" w:styleId="892">
    <w:name w:val="Содержимое таблицы"/>
    <w:basedOn w:val="871"/>
    <w:next w:val="892"/>
    <w:link w:val="871"/>
    <w:pPr>
      <w:suppressLineNumbers/>
    </w:pPr>
  </w:style>
  <w:style w:type="paragraph" w:styleId="893">
    <w:name w:val="Заголовок таблицы"/>
    <w:basedOn w:val="892"/>
    <w:next w:val="893"/>
    <w:link w:val="871"/>
    <w:pPr>
      <w:jc w:val="center"/>
      <w:suppressLineNumbers/>
    </w:pPr>
    <w:rPr>
      <w:b/>
      <w:bCs/>
    </w:rPr>
  </w:style>
  <w:style w:type="paragraph" w:styleId="894">
    <w:name w:val="Обычный (веб)"/>
    <w:basedOn w:val="871"/>
    <w:next w:val="894"/>
    <w:link w:val="871"/>
    <w:uiPriority w:val="99"/>
    <w:semiHidden/>
    <w:unhideWhenUsed/>
    <w:pPr>
      <w:spacing w:before="100" w:beforeAutospacing="1" w:after="100" w:afterAutospacing="1"/>
      <w:widowControl/>
    </w:pPr>
    <w:rPr>
      <w:rFonts w:eastAsia="Times New Roman"/>
      <w:lang w:val="ru-RU" w:eastAsia="ru-RU"/>
    </w:rPr>
  </w:style>
  <w:style w:type="character" w:styleId="895">
    <w:name w:val="Выделение"/>
    <w:basedOn w:val="874"/>
    <w:next w:val="895"/>
    <w:link w:val="871"/>
    <w:uiPriority w:val="20"/>
    <w:qFormat/>
    <w:rPr>
      <w:i/>
      <w:iCs/>
    </w:rPr>
  </w:style>
  <w:style w:type="table" w:styleId="896">
    <w:name w:val="Сетка таблицы"/>
    <w:basedOn w:val="875"/>
    <w:next w:val="896"/>
    <w:link w:val="871"/>
    <w:uiPriority w:val="59"/>
    <w:tblPr/>
  </w:style>
  <w:style w:type="character" w:styleId="897" w:default="1">
    <w:name w:val="Default Paragraph Font"/>
    <w:uiPriority w:val="1"/>
    <w:semiHidden/>
    <w:unhideWhenUsed/>
  </w:style>
  <w:style w:type="numbering" w:styleId="898" w:default="1">
    <w:name w:val="No List"/>
    <w:uiPriority w:val="99"/>
    <w:semiHidden/>
    <w:unhideWhenUsed/>
  </w:style>
  <w:style w:type="table" w:styleId="899" w:default="1">
    <w:name w:val="Normal Table"/>
    <w:uiPriority w:val="99"/>
    <w:semiHidden/>
    <w:unhideWhenUsed/>
    <w:tblPr/>
  </w:style>
  <w:style w:type="paragraph" w:styleId="900" w:customStyle="1">
    <w:name w:val="List Paragraph,ТЗ список,Bullet List,FooterText,numbered,Paragraphe de liste1,Bulletr List Paragraph,lp1,Список нумерованный цифры,Цветной список - Акцент 11,GOST_TableList"/>
    <w:basedOn w:val="775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zh-CN" w:bidi="en-US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HP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matveeva_ka</cp:lastModifiedBy>
  <cp:revision>29</cp:revision>
  <dcterms:created xsi:type="dcterms:W3CDTF">2009-04-16T06:32:00Z</dcterms:created>
  <dcterms:modified xsi:type="dcterms:W3CDTF">2026-02-17T03:57:33Z</dcterms:modified>
  <cp:version>786432</cp:version>
</cp:coreProperties>
</file>